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proofErr w:type="gramStart"/>
      <w:r w:rsidR="001C7E5D" w:rsidRPr="00EF7D6C">
        <w:rPr>
          <w:rFonts w:asciiTheme="minorHAnsi" w:hAnsiTheme="minorHAnsi" w:cs="Calibri"/>
          <w:szCs w:val="24"/>
        </w:rPr>
        <w:t>counties</w:t>
      </w:r>
      <w:proofErr w:type="gramEnd"/>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w:t>
      </w:r>
      <w:proofErr w:type="spellStart"/>
      <w:r w:rsidRPr="00EF7D6C">
        <w:rPr>
          <w:rFonts w:asciiTheme="minorHAnsi" w:hAnsiTheme="minorHAnsi" w:cs="Calibri"/>
          <w:szCs w:val="24"/>
        </w:rPr>
        <w:t>micropolitan</w:t>
      </w:r>
      <w:proofErr w:type="spellEnd"/>
      <w:r w:rsidRPr="00EF7D6C">
        <w:rPr>
          <w:rFonts w:asciiTheme="minorHAnsi" w:hAnsiTheme="minorHAnsi" w:cs="Calibri"/>
          <w:szCs w:val="24"/>
        </w:rPr>
        <w:t xml:space="preserve">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w:t>
      </w:r>
      <w:proofErr w:type="gramStart"/>
      <w:r w:rsidR="00517681" w:rsidRPr="00EF7D6C">
        <w:rPr>
          <w:rFonts w:asciiTheme="minorHAnsi" w:hAnsiTheme="minorHAnsi"/>
          <w:szCs w:val="24"/>
        </w:rPr>
        <w:t>county(</w:t>
      </w:r>
      <w:proofErr w:type="spellStart"/>
      <w:proofErr w:type="gramEnd"/>
      <w:r w:rsidR="00517681" w:rsidRPr="00EF7D6C">
        <w:rPr>
          <w:rFonts w:asciiTheme="minorHAnsi" w:hAnsiTheme="minorHAnsi"/>
          <w:szCs w:val="24"/>
        </w:rPr>
        <w:t>ies</w:t>
      </w:r>
      <w:proofErr w:type="spellEnd"/>
      <w:r w:rsidR="00517681" w:rsidRPr="00EF7D6C">
        <w:rPr>
          <w:rFonts w:asciiTheme="minorHAnsi" w:hAnsiTheme="minorHAnsi"/>
          <w:szCs w:val="24"/>
        </w:rPr>
        <w:t xml:space="preserve">)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6A0B2E"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31DF9FA0"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March 17,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CF60B6">
        <w:rPr>
          <w:rFonts w:asciiTheme="minorHAnsi" w:hAnsiTheme="minorHAnsi" w:cs="Calibri"/>
          <w:szCs w:val="24"/>
        </w:rPr>
        <w:t xml:space="preserve"> Becky Bowen and Brian Queen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C1ED79E" w14:textId="77777777" w:rsidR="006F7BAE" w:rsidRPr="00EF7D6C" w:rsidRDefault="006F7BAE" w:rsidP="006F7BAE">
      <w:pPr>
        <w:pStyle w:val="MSUES"/>
        <w:rPr>
          <w:rFonts w:asciiTheme="minorHAnsi" w:hAnsiTheme="minorHAnsi" w:cs="Calibri"/>
          <w:szCs w:val="24"/>
        </w:rPr>
      </w:pP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bookmarkStart w:id="0" w:name="_GoBack"/>
      <w:bookmarkEnd w:id="0"/>
      <w:r w:rsidR="006F7BAE" w:rsidRPr="00EF7D6C">
        <w:rPr>
          <w:rFonts w:asciiTheme="minorHAnsi" w:hAnsiTheme="minorHAnsi" w:cs="Calibri"/>
          <w:color w:val="FF0000"/>
          <w:szCs w:val="24"/>
        </w:rPr>
        <w:t xml:space="preserve">  </w:t>
      </w:r>
    </w:p>
    <w:p w14:paraId="4D2E3E0E" w14:textId="117DE74D" w:rsidR="00322776" w:rsidRPr="00CF60B6" w:rsidRDefault="00CF60B6" w:rsidP="00CF60B6">
      <w:pPr>
        <w:pStyle w:val="MSUES"/>
        <w:ind w:left="720"/>
        <w:rPr>
          <w:rFonts w:asciiTheme="minorHAnsi" w:hAnsiTheme="minorHAnsi" w:cs="Calibri"/>
          <w:szCs w:val="24"/>
        </w:rPr>
      </w:pPr>
      <w:r w:rsidRPr="00CF60B6">
        <w:rPr>
          <w:rFonts w:asciiTheme="minorHAnsi" w:hAnsiTheme="minorHAnsi" w:cs="Calibri"/>
          <w:szCs w:val="24"/>
        </w:rPr>
        <w:t>Becky Bowen</w:t>
      </w:r>
      <w:r w:rsidRPr="00CF60B6">
        <w:rPr>
          <w:rFonts w:asciiTheme="minorHAnsi" w:hAnsiTheme="minorHAnsi" w:cs="Calibri"/>
          <w:szCs w:val="24"/>
        </w:rPr>
        <w:tab/>
      </w:r>
      <w:r w:rsidRPr="00CF60B6">
        <w:rPr>
          <w:rFonts w:asciiTheme="minorHAnsi" w:hAnsiTheme="minorHAnsi" w:cs="Calibri"/>
          <w:szCs w:val="24"/>
        </w:rPr>
        <w:tab/>
      </w:r>
      <w:r w:rsidRPr="00CF60B6">
        <w:rPr>
          <w:rFonts w:asciiTheme="minorHAnsi" w:hAnsiTheme="minorHAnsi" w:cs="Calibri"/>
          <w:szCs w:val="24"/>
        </w:rPr>
        <w:tab/>
      </w:r>
      <w:r w:rsidRPr="00CF60B6">
        <w:rPr>
          <w:rFonts w:asciiTheme="minorHAnsi" w:hAnsiTheme="minorHAnsi" w:cs="Calibri"/>
          <w:szCs w:val="24"/>
        </w:rPr>
        <w:tab/>
      </w:r>
      <w:r w:rsidRPr="00CF60B6">
        <w:rPr>
          <w:rFonts w:asciiTheme="minorHAnsi" w:hAnsiTheme="minorHAnsi" w:cs="Calibri"/>
          <w:szCs w:val="24"/>
        </w:rPr>
        <w:tab/>
      </w:r>
      <w:r w:rsidRPr="00CF60B6">
        <w:rPr>
          <w:rFonts w:asciiTheme="minorHAnsi" w:hAnsiTheme="minorHAnsi" w:cs="Calibri"/>
          <w:szCs w:val="24"/>
        </w:rPr>
        <w:tab/>
        <w:t>Brian Queen</w:t>
      </w:r>
    </w:p>
    <w:p w14:paraId="3A558728" w14:textId="12C6C153" w:rsidR="00CF60B6" w:rsidRPr="00FF2933" w:rsidRDefault="00CF60B6" w:rsidP="00CF60B6">
      <w:pPr>
        <w:pStyle w:val="MSUES"/>
        <w:ind w:left="720"/>
        <w:rPr>
          <w:rFonts w:asciiTheme="minorHAnsi" w:hAnsiTheme="minorHAnsi" w:cs="Calibri"/>
          <w:szCs w:val="24"/>
        </w:rPr>
      </w:pPr>
      <w:r w:rsidRPr="00CF60B6">
        <w:rPr>
          <w:rFonts w:asciiTheme="minorHAnsi" w:hAnsiTheme="minorHAnsi" w:cs="Calibri"/>
          <w:szCs w:val="24"/>
        </w:rPr>
        <w:t xml:space="preserve">North Carolina State University </w:t>
      </w:r>
      <w:r w:rsidRPr="00CF60B6">
        <w:rPr>
          <w:rFonts w:asciiTheme="minorHAnsi" w:hAnsiTheme="minorHAnsi" w:cs="Calibri"/>
          <w:szCs w:val="24"/>
        </w:rPr>
        <w:tab/>
      </w:r>
      <w:r w:rsidRPr="00CF60B6">
        <w:rPr>
          <w:rFonts w:asciiTheme="minorHAnsi" w:hAnsiTheme="minorHAnsi" w:cs="Calibri"/>
          <w:szCs w:val="24"/>
        </w:rPr>
        <w:tab/>
      </w:r>
      <w:r w:rsidRPr="00CF60B6">
        <w:rPr>
          <w:rFonts w:asciiTheme="minorHAnsi" w:hAnsiTheme="minorHAnsi" w:cs="Calibri"/>
          <w:szCs w:val="24"/>
        </w:rPr>
        <w:tab/>
      </w:r>
      <w:r w:rsidRPr="00FF2933">
        <w:rPr>
          <w:rFonts w:asciiTheme="minorHAnsi" w:hAnsiTheme="minorHAnsi" w:cs="Calibri"/>
          <w:szCs w:val="24"/>
        </w:rPr>
        <w:t>USDA Rural Development, North Carolina</w:t>
      </w:r>
    </w:p>
    <w:p w14:paraId="71F03E20" w14:textId="2CE310D8"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Cooperative Extension Service</w:t>
      </w:r>
      <w:r w:rsidRPr="00FF2933">
        <w:rPr>
          <w:rFonts w:asciiTheme="minorHAnsi" w:hAnsiTheme="minorHAnsi" w:cs="Calibri"/>
          <w:szCs w:val="24"/>
        </w:rPr>
        <w:tab/>
      </w:r>
      <w:r w:rsidRPr="00FF2933">
        <w:rPr>
          <w:rFonts w:asciiTheme="minorHAnsi" w:hAnsiTheme="minorHAnsi" w:cs="Calibri"/>
          <w:szCs w:val="24"/>
        </w:rPr>
        <w:tab/>
      </w:r>
      <w:r w:rsidRPr="00FF2933">
        <w:rPr>
          <w:rFonts w:asciiTheme="minorHAnsi" w:hAnsiTheme="minorHAnsi" w:cs="Calibri"/>
          <w:szCs w:val="24"/>
        </w:rPr>
        <w:tab/>
      </w:r>
      <w:hyperlink r:id="rId14" w:history="1">
        <w:r w:rsidR="00FF2933" w:rsidRPr="00FF2933">
          <w:rPr>
            <w:rStyle w:val="Hyperlink"/>
            <w:rFonts w:asciiTheme="minorHAnsi" w:hAnsiTheme="minorHAnsi" w:cs="Calibri"/>
            <w:color w:val="auto"/>
            <w:szCs w:val="24"/>
          </w:rPr>
          <w:t>brian.queen@nc.usda.gov</w:t>
        </w:r>
      </w:hyperlink>
      <w:r w:rsidR="00FF2933" w:rsidRPr="00FF2933">
        <w:rPr>
          <w:rFonts w:asciiTheme="minorHAnsi" w:hAnsiTheme="minorHAnsi" w:cs="Calibri"/>
          <w:szCs w:val="24"/>
        </w:rPr>
        <w:t xml:space="preserve"> </w:t>
      </w:r>
    </w:p>
    <w:p w14:paraId="50CCF40C" w14:textId="1BC9187B" w:rsidR="00CF60B6" w:rsidRPr="00FF2933" w:rsidRDefault="006A0B2E" w:rsidP="00CF60B6">
      <w:pPr>
        <w:pStyle w:val="MSUES"/>
        <w:ind w:left="720"/>
        <w:rPr>
          <w:rFonts w:asciiTheme="minorHAnsi" w:hAnsiTheme="minorHAnsi" w:cs="Calibri"/>
          <w:szCs w:val="24"/>
        </w:rPr>
      </w:pPr>
      <w:hyperlink r:id="rId15" w:history="1">
        <w:r w:rsidR="00CF60B6" w:rsidRPr="00FF2933">
          <w:rPr>
            <w:rStyle w:val="Hyperlink"/>
            <w:rFonts w:asciiTheme="minorHAnsi" w:hAnsiTheme="minorHAnsi" w:cs="Calibri"/>
            <w:color w:val="auto"/>
            <w:szCs w:val="24"/>
          </w:rPr>
          <w:t>blbowen@ncsu.edu</w:t>
        </w:r>
      </w:hyperlink>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t>Phone:  919-873-2072</w:t>
      </w:r>
    </w:p>
    <w:p w14:paraId="6C227547" w14:textId="2B77C92D"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 xml:space="preserve">Phone </w:t>
      </w:r>
      <w:r w:rsidR="0005767A">
        <w:rPr>
          <w:rFonts w:asciiTheme="minorHAnsi" w:hAnsiTheme="minorHAnsi" w:cs="Calibri"/>
          <w:szCs w:val="24"/>
        </w:rPr>
        <w:t>919</w:t>
      </w:r>
      <w:r w:rsidRPr="00FF2933">
        <w:rPr>
          <w:rFonts w:asciiTheme="minorHAnsi" w:hAnsiTheme="minorHAnsi" w:cs="Calibri"/>
          <w:szCs w:val="24"/>
        </w:rPr>
        <w:t>-628-4317</w:t>
      </w:r>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lastRenderedPageBreak/>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t>
      </w:r>
      <w:proofErr w:type="gramStart"/>
      <w:r w:rsidR="00957074">
        <w:rPr>
          <w:rFonts w:asciiTheme="minorHAnsi" w:hAnsiTheme="minorHAnsi" w:cs="Calibri"/>
          <w:szCs w:val="24"/>
        </w:rPr>
        <w:t>with</w:t>
      </w:r>
      <w:proofErr w:type="gramEnd"/>
      <w:r w:rsidR="00957074">
        <w:rPr>
          <w:rFonts w:asciiTheme="minorHAnsi" w:hAnsiTheme="minorHAnsi" w:cs="Calibri"/>
          <w:szCs w:val="24"/>
        </w:rPr>
        <w:t xml:space="preserve">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0F396CC6" w:rsidR="00C66378" w:rsidRPr="00CF60B6" w:rsidRDefault="00CF60B6">
                            <w:r w:rsidRPr="00CF60B6">
                              <w:t xml:space="preserve">North Carolina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0F396CC6" w:rsidR="00C66378" w:rsidRPr="00CF60B6" w:rsidRDefault="00CF60B6">
                      <w:r w:rsidRPr="00CF60B6">
                        <w:t xml:space="preserve">North Carolina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70C0C31B"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March 17,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of the Application Form</w:t>
      </w:r>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w:t>
      </w:r>
      <w:proofErr w:type="gramStart"/>
      <w:r w:rsidRPr="00EF7D6C">
        <w:rPr>
          <w:rFonts w:asciiTheme="minorHAnsi" w:hAnsiTheme="minorHAnsi" w:cs="Calibri"/>
          <w:szCs w:val="24"/>
        </w:rPr>
        <w:t>?_</w:t>
      </w:r>
      <w:proofErr w:type="gramEnd"/>
      <w:r w:rsidRPr="00EF7D6C">
        <w:rPr>
          <w:rFonts w:asciiTheme="minorHAnsi" w:hAnsiTheme="minorHAnsi" w:cs="Calibri"/>
          <w:szCs w:val="24"/>
        </w:rPr>
        <w:t>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w:t>
      </w:r>
      <w:proofErr w:type="gramStart"/>
      <w:r w:rsidRPr="00EF7D6C">
        <w:rPr>
          <w:rFonts w:asciiTheme="minorHAnsi" w:hAnsiTheme="minorHAnsi" w:cs="Calibri"/>
          <w:bCs/>
          <w:szCs w:val="24"/>
        </w:rPr>
        <w:t>team’s</w:t>
      </w:r>
      <w:proofErr w:type="gramEnd"/>
      <w:r w:rsidRPr="00EF7D6C">
        <w:rPr>
          <w:rFonts w:asciiTheme="minorHAnsi" w:hAnsiTheme="minorHAnsi" w:cs="Calibri"/>
          <w:bCs/>
          <w:szCs w:val="24"/>
        </w:rPr>
        <w:t xml:space="preserve">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9515" w14:textId="77777777" w:rsidR="006A0B2E" w:rsidRDefault="006A0B2E" w:rsidP="003C720F">
      <w:pPr>
        <w:spacing w:after="0" w:line="240" w:lineRule="auto"/>
      </w:pPr>
      <w:r>
        <w:separator/>
      </w:r>
    </w:p>
  </w:endnote>
  <w:endnote w:type="continuationSeparator" w:id="0">
    <w:p w14:paraId="2F2F46D1" w14:textId="77777777" w:rsidR="006A0B2E" w:rsidRDefault="006A0B2E"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05767A">
      <w:rPr>
        <w:noProof/>
      </w:rPr>
      <w:t>10</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89C3" w14:textId="77777777" w:rsidR="006A0B2E" w:rsidRDefault="006A0B2E" w:rsidP="003C720F">
      <w:pPr>
        <w:spacing w:after="0" w:line="240" w:lineRule="auto"/>
      </w:pPr>
      <w:r>
        <w:separator/>
      </w:r>
    </w:p>
  </w:footnote>
  <w:footnote w:type="continuationSeparator" w:id="0">
    <w:p w14:paraId="6F989B3E" w14:textId="77777777" w:rsidR="006A0B2E" w:rsidRDefault="006A0B2E"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5767A"/>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06274"/>
    <w:rsid w:val="00413A0F"/>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0B2E"/>
    <w:rsid w:val="006A6211"/>
    <w:rsid w:val="006B71BE"/>
    <w:rsid w:val="006B7A48"/>
    <w:rsid w:val="006C2D43"/>
    <w:rsid w:val="006D0588"/>
    <w:rsid w:val="006D1E78"/>
    <w:rsid w:val="006D4E6A"/>
    <w:rsid w:val="006D6052"/>
    <w:rsid w:val="006E5FDB"/>
    <w:rsid w:val="006F6D46"/>
    <w:rsid w:val="006F7BAE"/>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FEC"/>
    <w:rsid w:val="00AD0558"/>
    <w:rsid w:val="00AD0845"/>
    <w:rsid w:val="00AD084E"/>
    <w:rsid w:val="00AE078D"/>
    <w:rsid w:val="00AE369E"/>
    <w:rsid w:val="00AF2700"/>
    <w:rsid w:val="00AF49D7"/>
    <w:rsid w:val="00B015ED"/>
    <w:rsid w:val="00B01995"/>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blbowen@ncsu.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rian.queen@nc.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6CAA-03A6-45AD-A810-B351DC22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18878</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4</cp:revision>
  <cp:lastPrinted>2015-03-20T13:22:00Z</cp:lastPrinted>
  <dcterms:created xsi:type="dcterms:W3CDTF">2017-02-07T22:52:00Z</dcterms:created>
  <dcterms:modified xsi:type="dcterms:W3CDTF">2017-02-09T15:00:00Z</dcterms:modified>
</cp:coreProperties>
</file>